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5DC1" w:rsidRDefault="00A45DC1" w:rsidP="00A45DC1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906145" cy="1371600"/>
            <wp:effectExtent l="25400" t="0" r="8255" b="0"/>
            <wp:wrapTight wrapText="bothSides">
              <wp:wrapPolygon edited="0">
                <wp:start x="-605" y="0"/>
                <wp:lineTo x="-605" y="21200"/>
                <wp:lineTo x="21797" y="21200"/>
                <wp:lineTo x="21797" y="0"/>
                <wp:lineTo x="-605" y="0"/>
              </wp:wrapPolygon>
            </wp:wrapTight>
            <wp:docPr id="7" name="Picture 7" descr="H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47" t="3110" r="14594" b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559" w:rsidRPr="009E555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6.45pt;margin-top:-36pt;width:369pt;height:90pt;z-index:251663360;mso-position-horizontal-relative:text;mso-position-vertical-relative:text" filled="f" stroked="f">
            <v:textbox style="mso-next-textbox:#_x0000_s1028">
              <w:txbxContent>
                <w:p w:rsidR="00A45DC1" w:rsidRPr="00A6395F" w:rsidRDefault="00A45DC1" w:rsidP="00A45DC1">
                  <w:pPr>
                    <w:jc w:val="center"/>
                    <w:rPr>
                      <w:rFonts w:ascii="Tempus Sans ITC" w:hAnsi="Tempus Sans ITC"/>
                      <w:sz w:val="48"/>
                      <w:szCs w:val="60"/>
                    </w:rPr>
                  </w:pPr>
                  <w:proofErr w:type="spellStart"/>
                  <w:r w:rsidRPr="00A6395F">
                    <w:rPr>
                      <w:rFonts w:ascii="Tempus Sans ITC" w:hAnsi="Tempus Sans ITC"/>
                      <w:sz w:val="48"/>
                      <w:szCs w:val="60"/>
                    </w:rPr>
                    <w:t>Hako</w:t>
                  </w:r>
                  <w:proofErr w:type="spellEnd"/>
                  <w:r w:rsidRPr="00A6395F">
                    <w:rPr>
                      <w:rFonts w:ascii="Tempus Sans ITC" w:hAnsi="Tempus Sans ITC"/>
                      <w:sz w:val="48"/>
                      <w:szCs w:val="60"/>
                    </w:rPr>
                    <w:t xml:space="preserve"> Women’s Collective</w:t>
                  </w:r>
                </w:p>
                <w:p w:rsidR="00A45DC1" w:rsidRPr="00676198" w:rsidRDefault="00A45DC1" w:rsidP="00A45DC1">
                  <w:pPr>
                    <w:jc w:val="center"/>
                    <w:rPr>
                      <w:rFonts w:ascii="RomanC" w:hAnsi="RomanC"/>
                      <w:b/>
                      <w:sz w:val="20"/>
                      <w:szCs w:val="19"/>
                    </w:rPr>
                  </w:pPr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 xml:space="preserve">P.O Box 699, </w:t>
                  </w:r>
                  <w:proofErr w:type="spellStart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>Buka</w:t>
                  </w:r>
                  <w:proofErr w:type="spellEnd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>, Autonomous Region of Bougainville</w:t>
                  </w:r>
                </w:p>
                <w:p w:rsidR="00A45DC1" w:rsidRPr="00676198" w:rsidRDefault="00A45DC1" w:rsidP="00A45DC1">
                  <w:pPr>
                    <w:jc w:val="center"/>
                    <w:rPr>
                      <w:rFonts w:ascii="RomanC" w:hAnsi="RomanC"/>
                      <w:b/>
                      <w:sz w:val="20"/>
                      <w:szCs w:val="19"/>
                    </w:rPr>
                  </w:pPr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 xml:space="preserve">Contact President </w:t>
                  </w:r>
                  <w:proofErr w:type="spellStart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>Dorcas</w:t>
                  </w:r>
                  <w:proofErr w:type="spellEnd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 xml:space="preserve"> </w:t>
                  </w:r>
                  <w:proofErr w:type="spellStart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>Gano</w:t>
                  </w:r>
                  <w:proofErr w:type="spellEnd"/>
                  <w:r w:rsidRPr="00676198">
                    <w:rPr>
                      <w:rFonts w:ascii="RomanC" w:hAnsi="RomanC"/>
                      <w:b/>
                      <w:sz w:val="20"/>
                      <w:szCs w:val="19"/>
                    </w:rPr>
                    <w:t xml:space="preserve"> ph +675 71110760</w:t>
                  </w:r>
                </w:p>
                <w:p w:rsidR="00A45DC1" w:rsidRDefault="00A45DC1" w:rsidP="00A45DC1">
                  <w:pPr>
                    <w:jc w:val="center"/>
                    <w:rPr>
                      <w:rFonts w:ascii="RomanC" w:hAnsi="RomanC"/>
                      <w:sz w:val="19"/>
                      <w:szCs w:val="19"/>
                    </w:rPr>
                  </w:pPr>
                </w:p>
                <w:p w:rsidR="00A45DC1" w:rsidRDefault="00A45DC1" w:rsidP="00A45DC1">
                  <w:pPr>
                    <w:jc w:val="center"/>
                    <w:rPr>
                      <w:rFonts w:ascii="RomanC" w:hAnsi="RomanC"/>
                      <w:sz w:val="19"/>
                      <w:szCs w:val="19"/>
                    </w:rPr>
                  </w:pPr>
                </w:p>
                <w:p w:rsidR="00A45DC1" w:rsidRPr="00D23333" w:rsidRDefault="00A45DC1" w:rsidP="00A45DC1">
                  <w:pPr>
                    <w:jc w:val="center"/>
                    <w:rPr>
                      <w:rFonts w:ascii="RomanC" w:hAnsi="RomanC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A45DC1" w:rsidRDefault="009E5559" w:rsidP="00A45DC1">
      <w:r w:rsidRPr="009E5559">
        <w:rPr>
          <w:noProof/>
        </w:rPr>
        <w:pict>
          <v:shape id="_x0000_s1029" type="#_x0000_t202" style="position:absolute;margin-left:-2.25pt;margin-top:14.1pt;width:378pt;height:36pt;z-index:251664384" filled="f" stroked="f">
            <v:textbox style="mso-next-textbox:#_x0000_s1029">
              <w:txbxContent>
                <w:p w:rsidR="00A45DC1" w:rsidRPr="00F24F47" w:rsidRDefault="00A45DC1" w:rsidP="00A45DC1">
                  <w:pPr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F24F47">
                    <w:rPr>
                      <w:rFonts w:ascii="Comic Sans MS" w:hAnsi="Comic Sans MS"/>
                      <w:sz w:val="23"/>
                      <w:szCs w:val="23"/>
                    </w:rPr>
                    <w:t xml:space="preserve">Women of </w:t>
                  </w:r>
                  <w:proofErr w:type="spellStart"/>
                  <w:r w:rsidRPr="00F24F47">
                    <w:rPr>
                      <w:rFonts w:ascii="Comic Sans MS" w:hAnsi="Comic Sans MS"/>
                      <w:sz w:val="23"/>
                      <w:szCs w:val="23"/>
                    </w:rPr>
                    <w:t>Hako</w:t>
                  </w:r>
                  <w:proofErr w:type="spellEnd"/>
                  <w:r w:rsidRPr="00F24F47">
                    <w:rPr>
                      <w:rFonts w:ascii="Comic Sans MS" w:hAnsi="Comic Sans MS"/>
                      <w:sz w:val="23"/>
                      <w:szCs w:val="23"/>
                    </w:rPr>
                    <w:t xml:space="preserve"> Developing and establishing with love for </w:t>
                  </w:r>
                  <w:proofErr w:type="spellStart"/>
                  <w:r w:rsidRPr="00F24F47">
                    <w:rPr>
                      <w:rFonts w:ascii="Comic Sans MS" w:hAnsi="Comic Sans MS"/>
                      <w:sz w:val="23"/>
                      <w:szCs w:val="23"/>
                    </w:rPr>
                    <w:t>Hako</w:t>
                  </w:r>
                  <w:proofErr w:type="spellEnd"/>
                </w:p>
              </w:txbxContent>
            </v:textbox>
          </v:shape>
        </w:pict>
      </w:r>
    </w:p>
    <w:p w:rsidR="00A45DC1" w:rsidRPr="00D23333" w:rsidRDefault="009E5559" w:rsidP="00A45DC1">
      <w:pPr>
        <w:rPr>
          <w:sz w:val="52"/>
        </w:rPr>
      </w:pPr>
      <w:r w:rsidRPr="009E5559">
        <w:rPr>
          <w:noProof/>
        </w:rPr>
        <w:pict>
          <v:line id="_x0000_s1030" style="position:absolute;z-index:251665408" from="18.65pt,28.15pt" to="369.65pt,28.15pt"/>
        </w:pict>
      </w:r>
    </w:p>
    <w:p w:rsidR="00CE5953" w:rsidRDefault="00CE5953" w:rsidP="00A45DC1">
      <w:pPr>
        <w:rPr>
          <w:b/>
        </w:rPr>
      </w:pPr>
    </w:p>
    <w:p w:rsidR="00A45DC1" w:rsidRPr="001F0AB3" w:rsidRDefault="009E5559" w:rsidP="00A45DC1">
      <w:pPr>
        <w:rPr>
          <w:b/>
        </w:rPr>
      </w:pPr>
      <w:r w:rsidRPr="009E5559">
        <w:rPr>
          <w:noProof/>
        </w:rPr>
        <w:pict>
          <v:shape id="Text Box 2" o:spid="_x0000_s1027" type="#_x0000_t202" style="position:absolute;margin-left:72.35pt;margin-top:4.55pt;width:346.35pt;height:36pt;z-index:251661312;visibility:visible;mso-wrap-distance-top:3.6pt;mso-wrap-distance-bottom:3.6pt;mso-position-horizontal:absolute;mso-position-vertical:absolute;mso-width-relative:margin;mso-height-relative:margin" strokecolor="white">
            <v:textbox>
              <w:txbxContent>
                <w:p w:rsidR="00A45DC1" w:rsidRPr="008D2A41" w:rsidRDefault="00A45DC1" w:rsidP="00A45DC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D2A41">
                    <w:rPr>
                      <w:rFonts w:ascii="Calibri" w:hAnsi="Calibri"/>
                      <w:b/>
                      <w:sz w:val="28"/>
                      <w:szCs w:val="28"/>
                    </w:rPr>
                    <w:t>Policy: Countering Human Trafficking</w:t>
                  </w:r>
                </w:p>
              </w:txbxContent>
            </v:textbox>
            <w10:wrap type="square"/>
          </v:shape>
        </w:pict>
      </w:r>
    </w:p>
    <w:p w:rsidR="00A45DC1" w:rsidRDefault="00A45DC1" w:rsidP="00A45DC1">
      <w:pPr>
        <w:tabs>
          <w:tab w:val="left" w:pos="3795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5DC1" w:rsidRPr="007B4ADA" w:rsidRDefault="00A45DC1" w:rsidP="00A45DC1">
      <w:pPr>
        <w:tabs>
          <w:tab w:val="left" w:pos="3795"/>
        </w:tabs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94"/>
      </w:tblGrid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A45DC1" w:rsidP="002919AC">
            <w:p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sz w:val="22"/>
                <w:szCs w:val="22"/>
              </w:rPr>
              <w:t>Policy number</w:t>
            </w:r>
          </w:p>
        </w:tc>
        <w:tc>
          <w:tcPr>
            <w:tcW w:w="6694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by HWC Executive</w:t>
            </w:r>
            <w:r w:rsidR="00A45DC1" w:rsidRPr="008D2A41">
              <w:rPr>
                <w:rFonts w:ascii="Calibri" w:hAnsi="Calibri"/>
                <w:sz w:val="22"/>
                <w:szCs w:val="22"/>
              </w:rPr>
              <w:t xml:space="preserve"> Board</w:t>
            </w:r>
          </w:p>
        </w:tc>
        <w:tc>
          <w:tcPr>
            <w:tcW w:w="6694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19</w:t>
            </w:r>
            <w:r w:rsidRPr="00CE5953">
              <w:rPr>
                <w:rFonts w:ascii="Calibri" w:hAnsi="Calibri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December 2016</w:t>
            </w:r>
          </w:p>
        </w:tc>
      </w:tr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A45DC1" w:rsidP="002919AC">
            <w:p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sz w:val="22"/>
                <w:szCs w:val="22"/>
              </w:rPr>
              <w:t>Commenced</w:t>
            </w:r>
          </w:p>
        </w:tc>
        <w:tc>
          <w:tcPr>
            <w:tcW w:w="6694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CE595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December 2016</w:t>
            </w:r>
          </w:p>
        </w:tc>
      </w:tr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A45DC1" w:rsidP="002919AC">
            <w:p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sz w:val="22"/>
                <w:szCs w:val="22"/>
              </w:rPr>
              <w:t>Last amended</w:t>
            </w:r>
          </w:p>
        </w:tc>
        <w:tc>
          <w:tcPr>
            <w:tcW w:w="6694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CE595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December 2016</w:t>
            </w:r>
          </w:p>
        </w:tc>
      </w:tr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A45DC1" w:rsidP="002919AC">
            <w:p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sz w:val="22"/>
                <w:szCs w:val="22"/>
              </w:rPr>
              <w:t>Planned revision date</w:t>
            </w:r>
          </w:p>
        </w:tc>
        <w:tc>
          <w:tcPr>
            <w:tcW w:w="6694" w:type="dxa"/>
            <w:shd w:val="clear" w:color="auto" w:fill="auto"/>
          </w:tcPr>
          <w:p w:rsidR="00A45DC1" w:rsidRPr="008D2A41" w:rsidRDefault="00CE5953" w:rsidP="002919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  <w:r w:rsidRPr="00CE5953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</w:tr>
      <w:tr w:rsidR="00A45DC1" w:rsidRPr="008D2A41">
        <w:tc>
          <w:tcPr>
            <w:tcW w:w="2628" w:type="dxa"/>
            <w:shd w:val="clear" w:color="auto" w:fill="auto"/>
          </w:tcPr>
          <w:p w:rsidR="00A45DC1" w:rsidRPr="008D2A41" w:rsidRDefault="00A45DC1" w:rsidP="002919AC">
            <w:p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sz w:val="22"/>
                <w:szCs w:val="22"/>
              </w:rPr>
              <w:t>Associated instruments/ policies</w:t>
            </w:r>
          </w:p>
        </w:tc>
        <w:tc>
          <w:tcPr>
            <w:tcW w:w="6694" w:type="dxa"/>
            <w:shd w:val="clear" w:color="auto" w:fill="auto"/>
          </w:tcPr>
          <w:p w:rsidR="00A45DC1" w:rsidRDefault="00CE5953" w:rsidP="002919A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IOM PNG </w:t>
            </w:r>
          </w:p>
          <w:p w:rsidR="00A45DC1" w:rsidRPr="008D2A41" w:rsidRDefault="00CE5953" w:rsidP="002919A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CEDAW</w:t>
            </w:r>
          </w:p>
          <w:p w:rsidR="00CE5953" w:rsidRDefault="00CE5953" w:rsidP="002919AC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HWC</w:t>
            </w:r>
            <w:r w:rsidR="00A45DC1" w:rsidRPr="008D2A41">
              <w:rPr>
                <w:rFonts w:ascii="Calibri" w:hAnsi="Calibri"/>
                <w:sz w:val="22"/>
                <w:szCs w:val="22"/>
              </w:rPr>
              <w:t xml:space="preserve"> Constitution</w:t>
            </w:r>
          </w:p>
          <w:p w:rsidR="00DD638E" w:rsidRDefault="00CE5953" w:rsidP="00DD638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BWF Constitution</w:t>
            </w:r>
          </w:p>
          <w:p w:rsidR="00A45DC1" w:rsidRPr="00DD638E" w:rsidRDefault="00DD638E" w:rsidP="00DD638E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D2A41">
              <w:rPr>
                <w:rFonts w:ascii="Calibri" w:hAnsi="Calibri"/>
                <w:i/>
                <w:sz w:val="22"/>
                <w:szCs w:val="22"/>
              </w:rPr>
              <w:t>Corporations Act 2001</w:t>
            </w:r>
            <w:r>
              <w:rPr>
                <w:rFonts w:ascii="Calibri" w:hAnsi="Calibri"/>
                <w:sz w:val="22"/>
                <w:szCs w:val="22"/>
              </w:rPr>
              <w:t xml:space="preserve"> (Commonwealth</w:t>
            </w:r>
            <w:r w:rsidRPr="008D2A4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A45DC1" w:rsidRPr="008D2A41" w:rsidRDefault="00A45DC1" w:rsidP="00A45DC1">
      <w:pPr>
        <w:rPr>
          <w:rFonts w:ascii="Calibri" w:hAnsi="Calibri"/>
        </w:rPr>
      </w:pPr>
    </w:p>
    <w:p w:rsidR="00A45DC1" w:rsidRPr="008D2A41" w:rsidRDefault="00A45DC1" w:rsidP="00A45DC1">
      <w:pPr>
        <w:numPr>
          <w:ilvl w:val="0"/>
          <w:numId w:val="2"/>
        </w:numPr>
        <w:spacing w:after="120"/>
        <w:rPr>
          <w:rFonts w:ascii="Calibri" w:hAnsi="Calibri"/>
          <w:b/>
        </w:rPr>
      </w:pPr>
      <w:r w:rsidRPr="008D2A41">
        <w:rPr>
          <w:rFonts w:ascii="Calibri" w:hAnsi="Calibri"/>
          <w:b/>
        </w:rPr>
        <w:t>Overview</w:t>
      </w:r>
    </w:p>
    <w:p w:rsidR="00A45DC1" w:rsidRPr="008D2A41" w:rsidRDefault="00CE5953" w:rsidP="00A45DC1">
      <w:pPr>
        <w:spacing w:after="120"/>
        <w:rPr>
          <w:rFonts w:ascii="Calibri" w:hAnsi="Calibri"/>
        </w:rPr>
      </w:pPr>
      <w:proofErr w:type="spellStart"/>
      <w:r>
        <w:rPr>
          <w:rFonts w:ascii="Calibri" w:hAnsi="Calibri"/>
        </w:rPr>
        <w:t>Hako</w:t>
      </w:r>
      <w:proofErr w:type="spellEnd"/>
      <w:r>
        <w:rPr>
          <w:rFonts w:ascii="Calibri" w:hAnsi="Calibri"/>
        </w:rPr>
        <w:t xml:space="preserve"> Women’s Collective</w:t>
      </w:r>
      <w:r w:rsidR="00A45DC1" w:rsidRPr="008D2A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(HWC) </w:t>
      </w:r>
      <w:r w:rsidR="00A45DC1" w:rsidRPr="008D2A41">
        <w:rPr>
          <w:rFonts w:ascii="Calibri" w:hAnsi="Calibri"/>
        </w:rPr>
        <w:t>opposes the trafficking of human beings</w:t>
      </w:r>
      <w:r w:rsidR="00A45DC1">
        <w:rPr>
          <w:rFonts w:ascii="Calibri" w:hAnsi="Calibri"/>
        </w:rPr>
        <w:t xml:space="preserve"> and slavery or slavery-like practices</w:t>
      </w:r>
      <w:r w:rsidR="00A45DC1" w:rsidRPr="008D2A41">
        <w:rPr>
          <w:rFonts w:ascii="Calibri" w:hAnsi="Calibri"/>
        </w:rPr>
        <w:t xml:space="preserve"> </w:t>
      </w:r>
      <w:r w:rsidR="00A45DC1">
        <w:rPr>
          <w:rFonts w:ascii="Calibri" w:hAnsi="Calibri"/>
        </w:rPr>
        <w:t xml:space="preserve">(e.g. </w:t>
      </w:r>
      <w:r w:rsidR="00A45DC1" w:rsidRPr="008D2A41">
        <w:rPr>
          <w:rFonts w:ascii="Calibri" w:hAnsi="Calibri"/>
        </w:rPr>
        <w:t xml:space="preserve">servitude, </w:t>
      </w:r>
      <w:r>
        <w:rPr>
          <w:rFonts w:ascii="Calibri" w:hAnsi="Calibri"/>
        </w:rPr>
        <w:t xml:space="preserve">forced child minding by children, </w:t>
      </w:r>
      <w:r w:rsidR="00A45DC1" w:rsidRPr="008D2A41">
        <w:rPr>
          <w:rFonts w:ascii="Calibri" w:hAnsi="Calibri"/>
        </w:rPr>
        <w:t>forced labour and forced marriage</w:t>
      </w:r>
      <w:r w:rsidR="00A45DC1">
        <w:rPr>
          <w:rFonts w:ascii="Calibri" w:hAnsi="Calibri"/>
        </w:rPr>
        <w:t>)</w:t>
      </w:r>
      <w:r w:rsidR="00A45DC1" w:rsidRPr="008D2A41">
        <w:rPr>
          <w:rFonts w:ascii="Calibri" w:hAnsi="Calibri"/>
        </w:rPr>
        <w:t xml:space="preserve"> and embraces its responsibility to support efforts to end these practices.</w:t>
      </w:r>
    </w:p>
    <w:p w:rsidR="00A45DC1" w:rsidRPr="008D2A41" w:rsidRDefault="00A45DC1" w:rsidP="00A45DC1">
      <w:pPr>
        <w:numPr>
          <w:ilvl w:val="0"/>
          <w:numId w:val="2"/>
        </w:numPr>
        <w:spacing w:after="120"/>
        <w:rPr>
          <w:rFonts w:ascii="Calibri" w:hAnsi="Calibri"/>
          <w:b/>
        </w:rPr>
      </w:pPr>
      <w:r w:rsidRPr="008D2A41">
        <w:rPr>
          <w:rFonts w:ascii="Calibri" w:hAnsi="Calibri"/>
          <w:b/>
        </w:rPr>
        <w:t>Application</w:t>
      </w:r>
    </w:p>
    <w:p w:rsidR="00A45DC1" w:rsidRPr="008D2A41" w:rsidRDefault="00A45DC1" w:rsidP="00A45DC1">
      <w:pPr>
        <w:spacing w:after="120"/>
        <w:rPr>
          <w:rFonts w:ascii="Calibri" w:hAnsi="Calibri"/>
        </w:rPr>
      </w:pPr>
      <w:r w:rsidRPr="008D2A41">
        <w:rPr>
          <w:rFonts w:ascii="Calibri" w:hAnsi="Calibri"/>
        </w:rPr>
        <w:t xml:space="preserve">This policy applies to all Members. </w:t>
      </w:r>
    </w:p>
    <w:p w:rsidR="00A45DC1" w:rsidRPr="008D2A41" w:rsidRDefault="00A45DC1" w:rsidP="00A45DC1">
      <w:pPr>
        <w:numPr>
          <w:ilvl w:val="0"/>
          <w:numId w:val="2"/>
        </w:numPr>
        <w:spacing w:after="120"/>
        <w:rPr>
          <w:rFonts w:ascii="Calibri" w:hAnsi="Calibri"/>
          <w:b/>
        </w:rPr>
      </w:pPr>
      <w:r w:rsidRPr="008D2A41">
        <w:rPr>
          <w:rFonts w:ascii="Calibri" w:hAnsi="Calibri"/>
          <w:b/>
        </w:rPr>
        <w:t>Policy</w:t>
      </w:r>
    </w:p>
    <w:p w:rsidR="00A45DC1" w:rsidRPr="008D2A41" w:rsidRDefault="00CE5953" w:rsidP="00A45DC1">
      <w:pPr>
        <w:numPr>
          <w:ilvl w:val="1"/>
          <w:numId w:val="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HWC</w:t>
      </w:r>
      <w:r w:rsidR="00A45DC1" w:rsidRPr="008D2A41">
        <w:rPr>
          <w:rFonts w:ascii="Calibri" w:hAnsi="Calibri"/>
        </w:rPr>
        <w:t xml:space="preserve"> is awar</w:t>
      </w:r>
      <w:r w:rsidR="00A45DC1">
        <w:rPr>
          <w:rFonts w:ascii="Calibri" w:hAnsi="Calibri"/>
        </w:rPr>
        <w:t>e that human trafficking and any slave-like practices are serious crimes and violations of human rights, affecting men, women and children all around the world. Slave-like practices include servitude (including in the sex industry), forced labour, forced marriage</w:t>
      </w:r>
      <w:r>
        <w:rPr>
          <w:rFonts w:ascii="Calibri" w:hAnsi="Calibri"/>
        </w:rPr>
        <w:t>, forced child minding by children in extended families</w:t>
      </w:r>
      <w:r w:rsidR="00A45DC1">
        <w:rPr>
          <w:rFonts w:ascii="Calibri" w:hAnsi="Calibri"/>
        </w:rPr>
        <w:t xml:space="preserve"> and the harvesting of body organs. </w:t>
      </w:r>
    </w:p>
    <w:p w:rsidR="00A45DC1" w:rsidRPr="008D2A41" w:rsidRDefault="00CE5953" w:rsidP="00A45DC1">
      <w:pPr>
        <w:numPr>
          <w:ilvl w:val="1"/>
          <w:numId w:val="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HWC</w:t>
      </w:r>
      <w:r w:rsidR="00A45DC1">
        <w:rPr>
          <w:rFonts w:ascii="Calibri" w:hAnsi="Calibri"/>
        </w:rPr>
        <w:t xml:space="preserve"> recognises that tackling the problems of trafficking and slavery-like practices requires comprehensive action at local, regional, national and international levels, by both government and non-gov</w:t>
      </w:r>
      <w:r>
        <w:rPr>
          <w:rFonts w:ascii="Calibri" w:hAnsi="Calibri"/>
        </w:rPr>
        <w:t>ernment entities. Further, HWC</w:t>
      </w:r>
      <w:r w:rsidR="00A45DC1">
        <w:rPr>
          <w:rFonts w:ascii="Calibri" w:hAnsi="Calibri"/>
        </w:rPr>
        <w:t xml:space="preserve"> recognises that its role in helping to eliminate these crimes is about prevention, identifying and supporting victims and those at risk, and reporting alleged crimes to appropriate authorities. </w:t>
      </w:r>
    </w:p>
    <w:p w:rsidR="00A45DC1" w:rsidRPr="008D2A41" w:rsidRDefault="00A45DC1" w:rsidP="00A45DC1">
      <w:pPr>
        <w:numPr>
          <w:ilvl w:val="1"/>
          <w:numId w:val="2"/>
        </w:numPr>
        <w:spacing w:after="120"/>
        <w:rPr>
          <w:rFonts w:ascii="Calibri" w:hAnsi="Calibri"/>
        </w:rPr>
      </w:pPr>
      <w:r w:rsidRPr="008D2A41">
        <w:rPr>
          <w:rFonts w:ascii="Calibri" w:hAnsi="Calibri"/>
        </w:rPr>
        <w:t>Within its capacity and thro</w:t>
      </w:r>
      <w:r w:rsidR="00CE5953">
        <w:rPr>
          <w:rFonts w:ascii="Calibri" w:hAnsi="Calibri"/>
        </w:rPr>
        <w:t>ugh its work HWC</w:t>
      </w:r>
      <w:r w:rsidRPr="008D2A41">
        <w:rPr>
          <w:rFonts w:ascii="Calibri" w:hAnsi="Calibri"/>
        </w:rPr>
        <w:t xml:space="preserve"> seeks to: 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provide</w:t>
      </w:r>
      <w:proofErr w:type="gramEnd"/>
      <w:r w:rsidRPr="008D2A41">
        <w:rPr>
          <w:rFonts w:ascii="Calibri" w:hAnsi="Calibri"/>
        </w:rPr>
        <w:t xml:space="preserve"> information that empowers local communities to resist these practices and empowers victims to stop being victims</w:t>
      </w:r>
    </w:p>
    <w:p w:rsidR="00A45DC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attuned to signs that people may have been subject to or at risk of slavery-like practices or trafficking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protect</w:t>
      </w:r>
      <w:proofErr w:type="gramEnd"/>
      <w:r w:rsidRPr="008D2A41">
        <w:rPr>
          <w:rFonts w:ascii="Calibri" w:hAnsi="Calibri"/>
        </w:rPr>
        <w:t xml:space="preserve"> victims</w:t>
      </w:r>
      <w:r>
        <w:rPr>
          <w:rFonts w:ascii="Calibri" w:hAnsi="Calibri"/>
        </w:rPr>
        <w:t>, and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provide</w:t>
      </w:r>
      <w:proofErr w:type="gramEnd"/>
      <w:r w:rsidRPr="008D2A41">
        <w:rPr>
          <w:rFonts w:ascii="Calibri" w:hAnsi="Calibri"/>
        </w:rPr>
        <w:t xml:space="preserve"> information to authorities to enable the prosecution of perpetrators of these practices</w:t>
      </w:r>
      <w:r>
        <w:rPr>
          <w:rFonts w:ascii="Calibri" w:hAnsi="Calibri"/>
        </w:rPr>
        <w:t xml:space="preserve">. </w:t>
      </w:r>
    </w:p>
    <w:p w:rsidR="00A45DC1" w:rsidRPr="008D2A41" w:rsidRDefault="00A45DC1" w:rsidP="00A45DC1">
      <w:pPr>
        <w:numPr>
          <w:ilvl w:val="1"/>
          <w:numId w:val="2"/>
        </w:numPr>
        <w:spacing w:after="120"/>
        <w:rPr>
          <w:rFonts w:ascii="Calibri" w:hAnsi="Calibri"/>
          <w:color w:val="000000"/>
        </w:rPr>
      </w:pPr>
      <w:r w:rsidRPr="008D2A41">
        <w:rPr>
          <w:rFonts w:ascii="Calibri" w:hAnsi="Calibri"/>
        </w:rPr>
        <w:t>When working with victims of slavery</w:t>
      </w:r>
      <w:r>
        <w:rPr>
          <w:rFonts w:ascii="Calibri" w:hAnsi="Calibri"/>
        </w:rPr>
        <w:t>-like practices</w:t>
      </w:r>
      <w:r w:rsidRPr="008D2A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</w:t>
      </w:r>
      <w:r w:rsidRPr="008D2A41">
        <w:rPr>
          <w:rFonts w:ascii="Calibri" w:hAnsi="Calibri"/>
        </w:rPr>
        <w:t>human trafficking</w:t>
      </w:r>
      <w:r>
        <w:rPr>
          <w:rFonts w:ascii="Calibri" w:hAnsi="Calibri"/>
        </w:rPr>
        <w:t>,</w:t>
      </w:r>
      <w:r w:rsidR="00CE5953">
        <w:rPr>
          <w:rFonts w:ascii="Calibri" w:hAnsi="Calibri"/>
        </w:rPr>
        <w:t xml:space="preserve"> HWC</w:t>
      </w:r>
      <w:r w:rsidRPr="008D2A41">
        <w:rPr>
          <w:rFonts w:ascii="Calibri" w:hAnsi="Calibri"/>
        </w:rPr>
        <w:t xml:space="preserve">: 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acts</w:t>
      </w:r>
      <w:proofErr w:type="gramEnd"/>
      <w:r w:rsidRPr="008D2A41">
        <w:rPr>
          <w:rFonts w:ascii="Calibri" w:hAnsi="Calibri"/>
        </w:rPr>
        <w:t xml:space="preserve"> to protect people’s safety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informs</w:t>
      </w:r>
      <w:proofErr w:type="gramEnd"/>
      <w:r w:rsidRPr="008D2A41">
        <w:rPr>
          <w:rFonts w:ascii="Calibri" w:hAnsi="Calibri"/>
        </w:rPr>
        <w:t xml:space="preserve"> victims of their rights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negotiates</w:t>
      </w:r>
      <w:proofErr w:type="gramEnd"/>
      <w:r w:rsidRPr="008D2A41">
        <w:rPr>
          <w:rFonts w:ascii="Calibri" w:hAnsi="Calibri"/>
        </w:rPr>
        <w:t xml:space="preserve"> informed consent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subject</w:t>
      </w:r>
      <w:proofErr w:type="gramEnd"/>
      <w:r w:rsidRPr="008D2A41">
        <w:rPr>
          <w:rFonts w:ascii="Calibri" w:hAnsi="Calibri"/>
        </w:rPr>
        <w:t xml:space="preserve"> to the victim’s consent, provides appropriate referrals, e.g. to law enforcement or in-country support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protects</w:t>
      </w:r>
      <w:proofErr w:type="gramEnd"/>
      <w:r w:rsidRPr="008D2A41">
        <w:rPr>
          <w:rFonts w:ascii="Calibri" w:hAnsi="Calibri"/>
        </w:rPr>
        <w:t xml:space="preserve"> privacy and confidentiality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provides</w:t>
      </w:r>
      <w:proofErr w:type="gramEnd"/>
      <w:r w:rsidRPr="008D2A41">
        <w:rPr>
          <w:rFonts w:ascii="Calibri" w:hAnsi="Calibri"/>
        </w:rPr>
        <w:t xml:space="preserve"> culturally appropriate services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provides</w:t>
      </w:r>
      <w:proofErr w:type="gramEnd"/>
      <w:r w:rsidRPr="008D2A41">
        <w:rPr>
          <w:rFonts w:ascii="Calibri" w:hAnsi="Calibri"/>
        </w:rPr>
        <w:t xml:space="preserve"> professional and ethical services</w:t>
      </w:r>
      <w:r>
        <w:rPr>
          <w:rFonts w:ascii="Calibri" w:hAnsi="Calibri"/>
        </w:rPr>
        <w:t>, and</w:t>
      </w:r>
    </w:p>
    <w:p w:rsidR="00A45DC1" w:rsidRPr="008D2A41" w:rsidRDefault="00A45DC1" w:rsidP="00A45DC1">
      <w:pPr>
        <w:numPr>
          <w:ilvl w:val="2"/>
          <w:numId w:val="2"/>
        </w:numPr>
        <w:spacing w:after="120"/>
        <w:ind w:left="1474" w:hanging="737"/>
        <w:rPr>
          <w:rFonts w:ascii="Calibri" w:hAnsi="Calibri"/>
        </w:rPr>
      </w:pPr>
      <w:proofErr w:type="gramStart"/>
      <w:r w:rsidRPr="008D2A41">
        <w:rPr>
          <w:rFonts w:ascii="Calibri" w:hAnsi="Calibri"/>
        </w:rPr>
        <w:t>informs</w:t>
      </w:r>
      <w:proofErr w:type="gramEnd"/>
      <w:r w:rsidRPr="008D2A41">
        <w:rPr>
          <w:rFonts w:ascii="Calibri" w:hAnsi="Calibri"/>
        </w:rPr>
        <w:t xml:space="preserve"> itself of all its legal responsibilities</w:t>
      </w:r>
      <w:r>
        <w:rPr>
          <w:rFonts w:ascii="Calibri" w:hAnsi="Calibri"/>
        </w:rPr>
        <w:t xml:space="preserve">. </w:t>
      </w:r>
    </w:p>
    <w:p w:rsidR="00EB5F91" w:rsidRDefault="009013CD"/>
    <w:sectPr w:rsidR="00EB5F91" w:rsidSect="002919AC">
      <w:footerReference w:type="even" r:id="rId6"/>
      <w:foot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empus Sans IT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C">
    <w:altName w:val="Times New Roman"/>
    <w:charset w:val="00"/>
    <w:family w:val="auto"/>
    <w:pitch w:val="variable"/>
    <w:sig w:usb0="00000287" w:usb1="00000000" w:usb2="00000000" w:usb3="00000000" w:csb0="0000000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AC" w:rsidRDefault="009E5559" w:rsidP="00291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9AC" w:rsidRDefault="009013CD" w:rsidP="002919A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AC" w:rsidRPr="008D2A41" w:rsidRDefault="009E5559" w:rsidP="002919AC">
    <w:pPr>
      <w:pStyle w:val="Footer"/>
      <w:framePr w:wrap="around" w:vAnchor="text" w:hAnchor="margin" w:xAlign="right" w:y="1"/>
      <w:rPr>
        <w:rStyle w:val="PageNumber"/>
      </w:rPr>
    </w:pPr>
    <w:r w:rsidRPr="008D2A41">
      <w:rPr>
        <w:rStyle w:val="PageNumber"/>
        <w:rFonts w:ascii="Calibri" w:hAnsi="Calibri"/>
        <w:sz w:val="20"/>
        <w:szCs w:val="20"/>
      </w:rPr>
      <w:fldChar w:fldCharType="begin"/>
    </w:r>
    <w:r w:rsidR="00A45DC1" w:rsidRPr="008D2A41">
      <w:rPr>
        <w:rStyle w:val="PageNumber"/>
        <w:rFonts w:ascii="Calibri" w:hAnsi="Calibri"/>
        <w:sz w:val="20"/>
        <w:szCs w:val="20"/>
      </w:rPr>
      <w:instrText xml:space="preserve">PAGE  </w:instrText>
    </w:r>
    <w:r w:rsidRPr="008D2A41">
      <w:rPr>
        <w:rStyle w:val="PageNumber"/>
        <w:rFonts w:ascii="Calibri" w:hAnsi="Calibri"/>
        <w:sz w:val="20"/>
        <w:szCs w:val="20"/>
      </w:rPr>
      <w:fldChar w:fldCharType="separate"/>
    </w:r>
    <w:r w:rsidR="009013CD">
      <w:rPr>
        <w:rStyle w:val="PageNumber"/>
        <w:rFonts w:ascii="Calibri" w:hAnsi="Calibri"/>
        <w:noProof/>
        <w:sz w:val="20"/>
        <w:szCs w:val="20"/>
      </w:rPr>
      <w:t>1</w:t>
    </w:r>
    <w:r w:rsidRPr="008D2A41">
      <w:rPr>
        <w:rStyle w:val="PageNumber"/>
        <w:rFonts w:ascii="Calibri" w:hAnsi="Calibri"/>
        <w:sz w:val="20"/>
        <w:szCs w:val="20"/>
      </w:rPr>
      <w:fldChar w:fldCharType="end"/>
    </w:r>
  </w:p>
  <w:p w:rsidR="002919AC" w:rsidRDefault="009013CD" w:rsidP="002919A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962"/>
    <w:multiLevelType w:val="multilevel"/>
    <w:tmpl w:val="7FA8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1E830C1"/>
    <w:multiLevelType w:val="hybridMultilevel"/>
    <w:tmpl w:val="5DD62F26"/>
    <w:lvl w:ilvl="0" w:tplc="EB801A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45DC1"/>
    <w:rsid w:val="00883E78"/>
    <w:rsid w:val="009013CD"/>
    <w:rsid w:val="009E5559"/>
    <w:rsid w:val="00A45DC1"/>
    <w:rsid w:val="00CE5953"/>
    <w:rsid w:val="00DD638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C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A45D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5DC1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rsid w:val="00A4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Macintosh Word</Application>
  <DocSecurity>0</DocSecurity>
  <Lines>15</Lines>
  <Paragraphs>3</Paragraphs>
  <ScaleCrop>false</ScaleCrop>
  <Company>Bob Miller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cp:lastModifiedBy>Marilyn</cp:lastModifiedBy>
  <cp:revision>2</cp:revision>
  <dcterms:created xsi:type="dcterms:W3CDTF">2017-01-26T02:51:00Z</dcterms:created>
  <dcterms:modified xsi:type="dcterms:W3CDTF">2017-01-26T02:51:00Z</dcterms:modified>
</cp:coreProperties>
</file>